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4AB88B" w14:textId="77777777" w:rsidR="00883D6A" w:rsidRPr="00883D6A" w:rsidRDefault="00883D6A" w:rsidP="00883D6A">
      <w:pPr>
        <w:rPr>
          <w:rFonts w:ascii="Times" w:eastAsia="Times New Roman" w:hAnsi="Times" w:cs="Times New Roman"/>
          <w:sz w:val="20"/>
          <w:szCs w:val="20"/>
        </w:rPr>
      </w:pPr>
      <w:bookmarkStart w:id="0" w:name="_GoBack"/>
      <w:bookmarkEnd w:id="0"/>
    </w:p>
    <w:p w14:paraId="7A9679E5" w14:textId="77777777" w:rsidR="001B1845" w:rsidRDefault="00883D6A" w:rsidP="001B1845">
      <w:pPr>
        <w:ind w:left="720"/>
      </w:pPr>
      <w:bookmarkStart w:id="1" w:name="OLE_LINK1"/>
      <w:bookmarkStart w:id="2" w:name="OLE_LINK2"/>
      <w:r w:rsidRPr="00883D6A">
        <w:t xml:space="preserve">Erica Harris skriver i sin bok "Nationalism, Theories and Cases (2009/2012)" følgende (side 92): "Removing assimilation from the repertoire of the political unity-seeking options, there are broadly two other options. First, a 'non-discrimination' principle by which </w:t>
      </w:r>
      <w:r w:rsidR="001B1845">
        <w:t>the state is neutral and whereb</w:t>
      </w:r>
      <w:r w:rsidRPr="00883D6A">
        <w:t xml:space="preserve">y cultural diversity is not a matter of public policy but remains firmly in the private sphere. The second option is to draw ethno-cultural identity into the public sphere and make the protection and the promotion of 'group rights' matter in public policy." </w:t>
      </w:r>
    </w:p>
    <w:p w14:paraId="79CF3861" w14:textId="08D356DD" w:rsidR="00604760" w:rsidRDefault="00623D42" w:rsidP="001B1845">
      <w:pPr>
        <w:ind w:left="720" w:firstLine="720"/>
      </w:pPr>
      <w:r>
        <w:t xml:space="preserve">Utdyp hva som menes med de to mulighetene (”options”), eller modellene, som Harris skisserer. </w:t>
      </w:r>
      <w:r w:rsidR="00883D6A" w:rsidRPr="00883D6A">
        <w:t xml:space="preserve">Ta </w:t>
      </w:r>
      <w:r>
        <w:t xml:space="preserve">deretter </w:t>
      </w:r>
      <w:r w:rsidR="00883D6A" w:rsidRPr="00883D6A">
        <w:t xml:space="preserve">utgangspunkt i </w:t>
      </w:r>
      <w:r w:rsidR="00C25B32">
        <w:t xml:space="preserve">minoritetspolitikken til </w:t>
      </w:r>
      <w:r w:rsidR="00883D6A" w:rsidRPr="00883D6A">
        <w:t xml:space="preserve">fem land i Øst-Europa, og </w:t>
      </w:r>
      <w:r w:rsidR="001B1845">
        <w:t>drøft</w:t>
      </w:r>
      <w:r w:rsidR="00883D6A" w:rsidRPr="00883D6A">
        <w:t xml:space="preserve"> hvorvidt den ene eller andre modellen - eller en </w:t>
      </w:r>
      <w:r>
        <w:t>elementer fra begge</w:t>
      </w:r>
      <w:r w:rsidR="00883D6A" w:rsidRPr="00883D6A">
        <w:t xml:space="preserve"> - dominerer i landet. Trekk inn i </w:t>
      </w:r>
      <w:r w:rsidR="001B1845">
        <w:t>diskusjoner</w:t>
      </w:r>
      <w:r w:rsidR="00883D6A" w:rsidRPr="00883D6A">
        <w:t xml:space="preserve"> årsaker til at den makthavende etniske majoriteten i Øst-Europa ofte er skeptisk til å innføre omfattende minoritetsrettigheter.</w:t>
      </w:r>
      <w:bookmarkEnd w:id="1"/>
      <w:bookmarkEnd w:id="2"/>
    </w:p>
    <w:sectPr w:rsidR="00604760" w:rsidSect="0071680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D6A"/>
    <w:rsid w:val="001B1845"/>
    <w:rsid w:val="003603C4"/>
    <w:rsid w:val="00604760"/>
    <w:rsid w:val="00623D42"/>
    <w:rsid w:val="0071680F"/>
    <w:rsid w:val="00883D6A"/>
    <w:rsid w:val="00AB2A5F"/>
    <w:rsid w:val="00C25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17709B1"/>
  <w14:defaultImageDpi w14:val="300"/>
  <w15:docId w15:val="{56045E14-FC64-4ACF-AA0F-688B4CB16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656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Bruker ved UiO</dc:creator>
  <cp:keywords/>
  <dc:description/>
  <cp:lastModifiedBy>Maria Øderud Danielsen</cp:lastModifiedBy>
  <cp:revision>2</cp:revision>
  <dcterms:created xsi:type="dcterms:W3CDTF">2019-06-03T13:36:00Z</dcterms:created>
  <dcterms:modified xsi:type="dcterms:W3CDTF">2019-06-03T13:36:00Z</dcterms:modified>
</cp:coreProperties>
</file>